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B0" w:rsidRDefault="00CD3CB8" w:rsidP="00CD3CB8">
      <w:pPr>
        <w:pStyle w:val="Default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CD3CB8">
        <w:rPr>
          <w:rFonts w:asciiTheme="minorHAnsi" w:hAnsiTheme="minorHAnsi"/>
          <w:b/>
          <w:sz w:val="28"/>
          <w:szCs w:val="28"/>
          <w:u w:val="single"/>
        </w:rPr>
        <w:t>10.</w:t>
      </w:r>
      <w:r w:rsidR="00BF7850" w:rsidRPr="00CD3CB8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B52B0" w:rsidRPr="00CD3CB8">
        <w:rPr>
          <w:rFonts w:asciiTheme="minorHAnsi" w:hAnsiTheme="minorHAnsi"/>
          <w:b/>
          <w:sz w:val="28"/>
          <w:szCs w:val="28"/>
          <w:u w:val="single"/>
        </w:rPr>
        <w:t>Betäuben</w:t>
      </w:r>
      <w:r w:rsidR="004B52B0" w:rsidRPr="0020608F">
        <w:rPr>
          <w:rFonts w:asciiTheme="minorHAnsi" w:hAnsiTheme="minorHAnsi"/>
          <w:b/>
          <w:sz w:val="28"/>
          <w:szCs w:val="28"/>
          <w:u w:val="single"/>
        </w:rPr>
        <w:t xml:space="preserve">/Töten von </w:t>
      </w:r>
      <w:r w:rsidR="004B52B0">
        <w:rPr>
          <w:rFonts w:asciiTheme="minorHAnsi" w:hAnsiTheme="minorHAnsi"/>
          <w:b/>
          <w:sz w:val="28"/>
          <w:szCs w:val="28"/>
          <w:u w:val="single"/>
        </w:rPr>
        <w:t>Kaninchen</w:t>
      </w:r>
    </w:p>
    <w:p w:rsidR="004B52B0" w:rsidRPr="0020608F" w:rsidRDefault="004B52B0" w:rsidP="004B52B0">
      <w:pPr>
        <w:pStyle w:val="Default"/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p w:rsidR="007B1036" w:rsidRDefault="007B1036" w:rsidP="007B1036">
      <w:pPr>
        <w:pStyle w:val="Default"/>
        <w:ind w:left="360"/>
        <w:rPr>
          <w:rFonts w:asciiTheme="minorHAnsi" w:hAnsiTheme="minorHAnsi"/>
          <w:b/>
          <w:sz w:val="28"/>
          <w:szCs w:val="28"/>
          <w:u w:val="single"/>
        </w:rPr>
      </w:pPr>
      <w:r w:rsidRPr="0020608F">
        <w:rPr>
          <w:rFonts w:asciiTheme="minorHAnsi" w:hAnsiTheme="minorHAnsi"/>
          <w:b/>
          <w:sz w:val="28"/>
          <w:szCs w:val="28"/>
          <w:u w:val="single"/>
        </w:rPr>
        <w:t>1</w:t>
      </w:r>
      <w:r w:rsidR="00EE033D">
        <w:rPr>
          <w:rFonts w:asciiTheme="minorHAnsi" w:hAnsiTheme="minorHAnsi"/>
          <w:b/>
          <w:sz w:val="28"/>
          <w:szCs w:val="28"/>
          <w:u w:val="single"/>
        </w:rPr>
        <w:t>0</w:t>
      </w:r>
      <w:r w:rsidRPr="0020608F">
        <w:rPr>
          <w:rFonts w:asciiTheme="minorHAnsi" w:hAnsiTheme="minorHAnsi"/>
          <w:b/>
          <w:sz w:val="28"/>
          <w:szCs w:val="28"/>
          <w:u w:val="single"/>
        </w:rPr>
        <w:t xml:space="preserve">.a. Betäuben 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durch </w:t>
      </w:r>
      <w:r w:rsidRPr="0020608F">
        <w:rPr>
          <w:rFonts w:asciiTheme="minorHAnsi" w:hAnsiTheme="minorHAnsi"/>
          <w:b/>
          <w:sz w:val="28"/>
          <w:szCs w:val="28"/>
          <w:u w:val="single"/>
        </w:rPr>
        <w:t>Bolzenschuss</w:t>
      </w:r>
    </w:p>
    <w:p w:rsidR="00C448E6" w:rsidRDefault="00C448E6" w:rsidP="00C448E6">
      <w:pPr>
        <w:pStyle w:val="Default"/>
        <w:ind w:left="360"/>
        <w:rPr>
          <w:rFonts w:asciiTheme="minorHAnsi" w:hAnsiTheme="minorHAnsi"/>
          <w:b/>
          <w:u w:val="single"/>
        </w:rPr>
      </w:pP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 xml:space="preserve">Für die korrekte Durchführung der Betäubung und das Verfahren zur Überwachung der Betäubungswirkung verantwortliche Person: </w:t>
      </w:r>
      <w:r w:rsidRPr="00403907">
        <w:rPr>
          <w:highlight w:val="yellow"/>
          <w:bdr w:val="single" w:sz="4" w:space="0" w:color="auto"/>
        </w:rPr>
        <w:t>Vor- und Zuname</w:t>
      </w:r>
      <w:r w:rsidRPr="00040DEB">
        <w:t>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 xml:space="preserve">Betäubungsgerät 1: </w:t>
      </w:r>
      <w:r w:rsidRPr="00403907">
        <w:rPr>
          <w:highlight w:val="yellow"/>
          <w:bdr w:val="single" w:sz="4" w:space="0" w:color="auto"/>
        </w:rPr>
        <w:t>genaue Bezeichnung, Hersteller</w:t>
      </w:r>
      <w:r w:rsidRPr="00040DEB">
        <w:t>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 xml:space="preserve">Betäubungsgerät 2: </w:t>
      </w:r>
      <w:r w:rsidRPr="00403907">
        <w:rPr>
          <w:highlight w:val="yellow"/>
          <w:bdr w:val="single" w:sz="4" w:space="0" w:color="auto"/>
        </w:rPr>
        <w:t>genaue Bezeichnung, Hersteller</w:t>
      </w:r>
      <w:r w:rsidRPr="00040DEB">
        <w:t>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>Nach jedem Arbeitstag ist der Bolzenschussapparat und ggf. das Ersatzgerät (!) grob zu zerlegen und zu reinigen – auch wenn evtl. nur 1 Tier betäubt wurde – bei Bedarf auch öfter.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 xml:space="preserve">Verschlissene oder verbogene Teile sind auszutauschen. 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>Wenn sich der Schussbolzen beim senkrecht gehaltenen Gerät der Austrittsstelle nähert bzw. beginnt auszutreten, ist die Rückholfeder und der Dämpfergummi zu tauschen.</w:t>
      </w:r>
    </w:p>
    <w:p w:rsidR="00C448E6" w:rsidRDefault="00C448E6" w:rsidP="00C448E6">
      <w:pPr>
        <w:pStyle w:val="Default"/>
        <w:numPr>
          <w:ilvl w:val="0"/>
          <w:numId w:val="4"/>
        </w:numPr>
      </w:pPr>
      <w:r w:rsidRPr="00040DEB">
        <w:t>Spätestens alle 2 Jahre und bei wesentlichen Funktionsmängeln unverzüglich ist das Betäubungsgerät vom Hersteller zu überprüfen.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>
        <w:t>Die durchgeführten Wartungsmaßnahmen sind im Beiblatt zur Standardarbeitsanweisung einzutragen.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 xml:space="preserve">Die Treibkartuschen sind trocken zu lagern. 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>Es sind ausschließlich die vom Hersteller des Schussapparates zugelassenen Treibladungen in der entsprechenden Stärke zu verwenden.</w:t>
      </w:r>
    </w:p>
    <w:p w:rsidR="00C448E6" w:rsidRPr="00040DEB" w:rsidRDefault="00C448E6" w:rsidP="00C448E6">
      <w:pPr>
        <w:pStyle w:val="Default"/>
        <w:numPr>
          <w:ilvl w:val="0"/>
          <w:numId w:val="4"/>
        </w:numPr>
      </w:pPr>
      <w:r w:rsidRPr="00040DEB">
        <w:t xml:space="preserve">Am Schlachtplatz muss immer ein einsatzbereites Ersatzgerät (geladen – nicht gespannt) bereitliegen! </w:t>
      </w:r>
    </w:p>
    <w:p w:rsidR="00C448E6" w:rsidRDefault="00C448E6" w:rsidP="00C448E6">
      <w:pPr>
        <w:pStyle w:val="Default"/>
        <w:numPr>
          <w:ilvl w:val="0"/>
          <w:numId w:val="4"/>
        </w:numPr>
      </w:pPr>
      <w:r w:rsidRPr="00040DEB">
        <w:t>Vor Arbeitsbeginn ist eine F</w:t>
      </w:r>
      <w:bookmarkStart w:id="0" w:name="_GoBack"/>
      <w:bookmarkEnd w:id="0"/>
      <w:r w:rsidRPr="00040DEB">
        <w:t>unktionsprüfung vorzunehmen.</w:t>
      </w:r>
    </w:p>
    <w:p w:rsidR="00C448E6" w:rsidRDefault="00C448E6" w:rsidP="00092B2A">
      <w:pPr>
        <w:pStyle w:val="Default"/>
        <w:numPr>
          <w:ilvl w:val="0"/>
          <w:numId w:val="4"/>
        </w:numPr>
      </w:pPr>
      <w:r w:rsidRPr="00040DEB">
        <w:t xml:space="preserve">Die Ansatzstelle für das </w:t>
      </w:r>
      <w:r w:rsidR="0024693C" w:rsidRPr="00040DEB">
        <w:t>ist am Kreuzungspunkt zweier</w:t>
      </w:r>
      <w:r w:rsidR="0024693C">
        <w:t xml:space="preserve"> gedachter Linien zwischen äußeren Augenwinkel</w:t>
      </w:r>
      <w:r w:rsidR="0024693C" w:rsidRPr="00040DEB">
        <w:t xml:space="preserve"> und Mitte des gegenüberliegenden </w:t>
      </w:r>
      <w:r w:rsidR="0024693C">
        <w:t>Ohransatzes</w:t>
      </w:r>
      <w:r w:rsidR="0024693C" w:rsidRPr="00040DEB">
        <w:t>, wobei der Ansatz des Schussapparates genau senkrecht zur Stirnfläche erfolgen soll</w:t>
      </w:r>
    </w:p>
    <w:p w:rsidR="0024693C" w:rsidRDefault="0024693C" w:rsidP="00092B2A">
      <w:pPr>
        <w:pStyle w:val="Default"/>
        <w:numPr>
          <w:ilvl w:val="0"/>
          <w:numId w:val="4"/>
        </w:numPr>
      </w:pPr>
      <w:r>
        <w:t>Das Kaninchen ist auf einem rutschfesten Boden mit einem Rückhalt zu platzieren, sodass es nicht nach hinten ausweichen kann</w:t>
      </w:r>
    </w:p>
    <w:p w:rsidR="0024693C" w:rsidRDefault="0024693C" w:rsidP="00092B2A">
      <w:pPr>
        <w:pStyle w:val="Default"/>
        <w:numPr>
          <w:ilvl w:val="0"/>
          <w:numId w:val="4"/>
        </w:numPr>
      </w:pPr>
      <w:r>
        <w:t>Zur Fixierung wird die Hand auf den Schulterbereich sowie Daumen und Zeigefinder beidseitig vom Hals gelegt</w:t>
      </w:r>
    </w:p>
    <w:p w:rsidR="00C448E6" w:rsidRDefault="00C448E6" w:rsidP="00495A5A">
      <w:pPr>
        <w:pStyle w:val="Default"/>
        <w:numPr>
          <w:ilvl w:val="0"/>
          <w:numId w:val="4"/>
        </w:numPr>
      </w:pPr>
      <w:r w:rsidRPr="00040DEB">
        <w:t>Nach jedem Schuss ist zu prüfen, ob der Bolzen wieder vollständig in den Schaft einfährt.</w:t>
      </w:r>
    </w:p>
    <w:p w:rsidR="0024693C" w:rsidRDefault="00305C86" w:rsidP="0024693C">
      <w:pPr>
        <w:pStyle w:val="Default"/>
        <w:ind w:left="360"/>
      </w:pPr>
      <w:r w:rsidRPr="006C4F1E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7F22F8F6" wp14:editId="7BB5EB9A">
                <wp:simplePos x="0" y="0"/>
                <wp:positionH relativeFrom="column">
                  <wp:posOffset>4093018</wp:posOffset>
                </wp:positionH>
                <wp:positionV relativeFrom="paragraph">
                  <wp:posOffset>13660</wp:posOffset>
                </wp:positionV>
                <wp:extent cx="1371600" cy="212090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86" w:rsidRPr="00305C86" w:rsidRDefault="00305C86" w:rsidP="00305C86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305C8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© Europäische Union,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2F8F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2.3pt;margin-top:1.1pt;width:108pt;height:16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" filled="f" stroked="f">
                <v:textbox>
                  <w:txbxContent>
                    <w:p w:rsidR="00305C86" w:rsidRPr="00305C86" w:rsidRDefault="00305C86" w:rsidP="00305C86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305C86">
                        <w:rPr>
                          <w:rFonts w:asciiTheme="minorHAnsi" w:hAnsiTheme="minorHAnsi" w:cstheme="minorHAnsi"/>
                          <w:sz w:val="16"/>
                        </w:rPr>
                        <w:t>© Europäische Union, 2018</w:t>
                      </w:r>
                    </w:p>
                  </w:txbxContent>
                </v:textbox>
              </v:shape>
            </w:pict>
          </mc:Fallback>
        </mc:AlternateContent>
      </w:r>
      <w:r w:rsidR="005B436B">
        <w:rPr>
          <w:noProof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1.8pt;margin-top:3.6pt;width:179.75pt;height:127.8pt;z-index:-251653632;mso-position-horizontal-relative:text;mso-position-vertical-relative:text" wrapcoords="-69 0 -69 21504 21600 21504 21600 0 -69 0">
            <v:imagedata r:id="rId8" o:title="Anmerkung 2023-09-29 085843"/>
            <w10:wrap type="square"/>
          </v:shape>
        </w:pict>
      </w:r>
      <w:r w:rsidR="005B436B">
        <w:rPr>
          <w:noProof/>
          <w:lang w:val="de-AT" w:eastAsia="de-AT"/>
        </w:rPr>
        <w:pict>
          <v:shape id="_x0000_s1027" type="#_x0000_t75" style="position:absolute;left:0;text-align:left;margin-left:124.85pt;margin-top:3.6pt;width:89.15pt;height:127.8pt;z-index:-251654656;mso-position-horizontal-relative:text;mso-position-vertical-relative:text" wrapcoords="-142 0 -142 21501 21600 21501 21600 0 -142 0">
            <v:imagedata r:id="rId9" o:title="Anmerkung 2023-09-29 085635"/>
            <w10:wrap type="square"/>
          </v:shape>
        </w:pict>
      </w:r>
    </w:p>
    <w:p w:rsidR="0024693C" w:rsidRDefault="0024693C" w:rsidP="0024693C">
      <w:pPr>
        <w:pStyle w:val="Default"/>
        <w:ind w:left="360"/>
      </w:pPr>
    </w:p>
    <w:p w:rsidR="0024693C" w:rsidRDefault="0024693C" w:rsidP="0024693C">
      <w:pPr>
        <w:pStyle w:val="Default"/>
        <w:ind w:left="360"/>
      </w:pPr>
    </w:p>
    <w:p w:rsidR="0024693C" w:rsidRDefault="0024693C" w:rsidP="0024693C">
      <w:pPr>
        <w:pStyle w:val="Default"/>
        <w:ind w:left="360"/>
      </w:pPr>
    </w:p>
    <w:p w:rsidR="0024693C" w:rsidRDefault="0024693C" w:rsidP="0024693C">
      <w:pPr>
        <w:pStyle w:val="Default"/>
        <w:ind w:left="360"/>
      </w:pPr>
    </w:p>
    <w:p w:rsidR="0024693C" w:rsidRDefault="0024693C" w:rsidP="0024693C">
      <w:pPr>
        <w:pStyle w:val="Default"/>
        <w:ind w:left="360"/>
      </w:pPr>
    </w:p>
    <w:p w:rsidR="0024693C" w:rsidRDefault="00305C86" w:rsidP="0024693C">
      <w:pPr>
        <w:pStyle w:val="Default"/>
        <w:ind w:left="360"/>
      </w:pPr>
      <w:r w:rsidRPr="006C4F1E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7F22F8F6" wp14:editId="7BB5EB9A">
                <wp:simplePos x="0" y="0"/>
                <wp:positionH relativeFrom="column">
                  <wp:posOffset>1477320</wp:posOffset>
                </wp:positionH>
                <wp:positionV relativeFrom="paragraph">
                  <wp:posOffset>65863</wp:posOffset>
                </wp:positionV>
                <wp:extent cx="1371600" cy="21209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86" w:rsidRPr="00305C86" w:rsidRDefault="00305C86" w:rsidP="00305C86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305C8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© Europäische Union,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F8F6" id="_x0000_s1027" type="#_x0000_t202" style="position:absolute;left:0;text-align:left;margin-left:116.3pt;margin-top:5.2pt;width:108pt;height:16.7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" filled="f" stroked="f">
                <v:textbox>
                  <w:txbxContent>
                    <w:p w:rsidR="00305C86" w:rsidRPr="00305C86" w:rsidRDefault="00305C86" w:rsidP="00305C86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305C86">
                        <w:rPr>
                          <w:rFonts w:asciiTheme="minorHAnsi" w:hAnsiTheme="minorHAnsi" w:cstheme="minorHAnsi"/>
                          <w:sz w:val="16"/>
                        </w:rPr>
                        <w:t>© Europäische Union,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24693C" w:rsidRDefault="0024693C" w:rsidP="0024693C">
      <w:pPr>
        <w:pStyle w:val="Default"/>
        <w:ind w:left="360"/>
      </w:pPr>
    </w:p>
    <w:p w:rsidR="0024693C" w:rsidRPr="00040DEB" w:rsidRDefault="0024693C" w:rsidP="0024693C">
      <w:pPr>
        <w:pStyle w:val="Default"/>
        <w:ind w:left="360"/>
      </w:pPr>
    </w:p>
    <w:p w:rsidR="00C468F8" w:rsidRDefault="00C468F8" w:rsidP="00D7064A">
      <w:pPr>
        <w:pStyle w:val="Default"/>
        <w:ind w:left="360"/>
        <w:rPr>
          <w:rFonts w:asciiTheme="minorHAnsi" w:hAnsiTheme="minorHAnsi"/>
        </w:rPr>
      </w:pPr>
    </w:p>
    <w:p w:rsidR="00C468F8" w:rsidRDefault="00C468F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CD3CB8" w:rsidRDefault="00CD3CB8" w:rsidP="00D7064A">
      <w:pPr>
        <w:pStyle w:val="Default"/>
        <w:ind w:left="360"/>
        <w:rPr>
          <w:rFonts w:asciiTheme="minorHAnsi" w:hAnsiTheme="minorHAnsi"/>
        </w:rPr>
      </w:pPr>
    </w:p>
    <w:p w:rsidR="003C484B" w:rsidRDefault="007B1036" w:rsidP="00D7064A">
      <w:pPr>
        <w:pStyle w:val="Default"/>
        <w:ind w:left="360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1</w:t>
      </w:r>
      <w:r w:rsidR="00EE033D">
        <w:rPr>
          <w:rFonts w:asciiTheme="minorHAnsi" w:hAnsiTheme="minorHAnsi"/>
          <w:b/>
          <w:sz w:val="28"/>
          <w:u w:val="single"/>
        </w:rPr>
        <w:t>0</w:t>
      </w:r>
      <w:r w:rsidRPr="0020608F">
        <w:rPr>
          <w:rFonts w:asciiTheme="minorHAnsi" w:hAnsiTheme="minorHAnsi"/>
          <w:b/>
          <w:sz w:val="28"/>
          <w:u w:val="single"/>
        </w:rPr>
        <w:t>.</w:t>
      </w:r>
      <w:r>
        <w:rPr>
          <w:rFonts w:asciiTheme="minorHAnsi" w:hAnsiTheme="minorHAnsi"/>
          <w:b/>
          <w:sz w:val="28"/>
          <w:u w:val="single"/>
        </w:rPr>
        <w:t>b</w:t>
      </w:r>
      <w:r w:rsidRPr="0020608F">
        <w:rPr>
          <w:rFonts w:asciiTheme="minorHAnsi" w:hAnsiTheme="minorHAnsi"/>
          <w:b/>
          <w:sz w:val="28"/>
          <w:u w:val="single"/>
        </w:rPr>
        <w:t>. Elektrobetäubung</w:t>
      </w:r>
    </w:p>
    <w:p w:rsidR="00495A5A" w:rsidRDefault="00495A5A" w:rsidP="00D7064A">
      <w:pPr>
        <w:pStyle w:val="Default"/>
        <w:ind w:left="360"/>
        <w:rPr>
          <w:rFonts w:asciiTheme="minorHAnsi" w:hAnsiTheme="minorHAnsi"/>
          <w:b/>
          <w:sz w:val="28"/>
          <w:u w:val="single"/>
        </w:rPr>
      </w:pPr>
    </w:p>
    <w:p w:rsidR="00495A5A" w:rsidRDefault="00495A5A" w:rsidP="00495A5A">
      <w:pPr>
        <w:pStyle w:val="Default"/>
        <w:ind w:left="360"/>
      </w:pPr>
      <w:r>
        <w:t xml:space="preserve">Für die elektrische Betäubung müssen folgende Anforderungen erfüllt sein: </w:t>
      </w:r>
    </w:p>
    <w:p w:rsidR="00495A5A" w:rsidRDefault="00495A5A" w:rsidP="00495A5A">
      <w:pPr>
        <w:pStyle w:val="Default"/>
        <w:numPr>
          <w:ilvl w:val="0"/>
          <w:numId w:val="10"/>
        </w:numPr>
      </w:pPr>
      <w:r>
        <w:t xml:space="preserve">Vorhandensein eines Gerätes zur </w:t>
      </w:r>
      <w:proofErr w:type="spellStart"/>
      <w:r>
        <w:t>Impedanzmessung</w:t>
      </w:r>
      <w:proofErr w:type="spellEnd"/>
      <w:r>
        <w:t>. Damit kann die Betäubung nur betätigt werden, wenn der erforderliche Mindeststromdurchfluss gewährleistet ist</w:t>
      </w:r>
    </w:p>
    <w:p w:rsidR="00495A5A" w:rsidRDefault="00495A5A" w:rsidP="00495A5A">
      <w:pPr>
        <w:pStyle w:val="Default"/>
        <w:numPr>
          <w:ilvl w:val="0"/>
          <w:numId w:val="10"/>
        </w:numPr>
      </w:pPr>
      <w:r>
        <w:t>akustisches oder optisches Signal zur Anzeige der Dauer der Stromeinwirkung</w:t>
      </w:r>
    </w:p>
    <w:p w:rsidR="00495A5A" w:rsidRDefault="006C4F1E" w:rsidP="00495A5A">
      <w:pPr>
        <w:pStyle w:val="Default"/>
        <w:numPr>
          <w:ilvl w:val="0"/>
          <w:numId w:val="10"/>
        </w:numPr>
      </w:pPr>
      <w:r w:rsidRPr="00495A5A">
        <w:rPr>
          <w:rFonts w:asciiTheme="minorHAnsi" w:hAnsiTheme="minorHAnsi"/>
          <w:b/>
          <w:noProof/>
          <w:sz w:val="28"/>
          <w:u w:val="single"/>
          <w:lang w:val="de-AT" w:eastAsia="de-AT"/>
        </w:rPr>
        <w:drawing>
          <wp:anchor distT="0" distB="0" distL="114300" distR="114300" simplePos="0" relativeHeight="251664896" behindDoc="0" locked="0" layoutInCell="1" allowOverlap="1" wp14:anchorId="50BDBA51" wp14:editId="79C4CC59">
            <wp:simplePos x="0" y="0"/>
            <wp:positionH relativeFrom="margin">
              <wp:align>right</wp:align>
            </wp:positionH>
            <wp:positionV relativeFrom="paragraph">
              <wp:posOffset>95176</wp:posOffset>
            </wp:positionV>
            <wp:extent cx="2143125" cy="1722120"/>
            <wp:effectExtent l="0" t="0" r="9525" b="0"/>
            <wp:wrapTight wrapText="bothSides">
              <wp:wrapPolygon edited="0">
                <wp:start x="0" y="0"/>
                <wp:lineTo x="0" y="21265"/>
                <wp:lineTo x="21504" y="21265"/>
                <wp:lineTo x="21504" y="0"/>
                <wp:lineTo x="0" y="0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A5A">
        <w:t>Anschluss an einen Spannungs- und Strommesser im Sichtfeld der ausführenden Person</w:t>
      </w:r>
    </w:p>
    <w:p w:rsidR="006C4F1E" w:rsidRDefault="006C4F1E" w:rsidP="00495A5A">
      <w:pPr>
        <w:pStyle w:val="Default"/>
        <w:numPr>
          <w:ilvl w:val="0"/>
          <w:numId w:val="10"/>
        </w:numPr>
      </w:pPr>
      <w:r>
        <w:t>Der Kopf des Kaninchens ist mit Wasser zu benetzen</w:t>
      </w:r>
    </w:p>
    <w:p w:rsidR="006C4F1E" w:rsidRDefault="006C4F1E" w:rsidP="00495A5A">
      <w:pPr>
        <w:pStyle w:val="Default"/>
        <w:numPr>
          <w:ilvl w:val="0"/>
          <w:numId w:val="10"/>
        </w:numPr>
      </w:pPr>
      <w:r>
        <w:t>Mit der einen Hand wird der Körper gestützt und mit der anderen Hand der Kopf zu den Elektroden geführt (isolierende Schutzhandschuhe tragen!)</w:t>
      </w:r>
    </w:p>
    <w:p w:rsidR="006C4F1E" w:rsidRDefault="006C4F1E" w:rsidP="006C4F1E">
      <w:pPr>
        <w:pStyle w:val="Default"/>
        <w:numPr>
          <w:ilvl w:val="0"/>
          <w:numId w:val="10"/>
        </w:numPr>
      </w:pPr>
      <w:r>
        <w:t>Die Elektroden werden zwischen den äußeren Augenwinkeln und der Basis der Ohren positioniert</w:t>
      </w:r>
    </w:p>
    <w:p w:rsidR="00495A5A" w:rsidRDefault="00305C86" w:rsidP="00495A5A">
      <w:pPr>
        <w:pStyle w:val="Default"/>
        <w:numPr>
          <w:ilvl w:val="0"/>
          <w:numId w:val="10"/>
        </w:numPr>
      </w:pPr>
      <w:r w:rsidRPr="006C4F1E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F22F8F6" wp14:editId="7BB5EB9A">
                <wp:simplePos x="0" y="0"/>
                <wp:positionH relativeFrom="margin">
                  <wp:align>right</wp:align>
                </wp:positionH>
                <wp:positionV relativeFrom="paragraph">
                  <wp:posOffset>82255</wp:posOffset>
                </wp:positionV>
                <wp:extent cx="1371600" cy="21209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C86" w:rsidRPr="00305C86" w:rsidRDefault="00305C86" w:rsidP="00305C86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305C8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© Europäische Union,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F8F6" id="_x0000_s1028" type="#_x0000_t202" style="position:absolute;left:0;text-align:left;margin-left:56.8pt;margin-top:6.5pt;width:108pt;height:16.7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" filled="f" stroked="f">
                <v:textbox>
                  <w:txbxContent>
                    <w:p w:rsidR="00305C86" w:rsidRPr="00305C86" w:rsidRDefault="00305C86" w:rsidP="00305C86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305C86">
                        <w:rPr>
                          <w:rFonts w:asciiTheme="minorHAnsi" w:hAnsiTheme="minorHAnsi" w:cstheme="minorHAnsi"/>
                          <w:sz w:val="16"/>
                        </w:rPr>
                        <w:t>© Europäische Union,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5A5A">
        <w:t>Die Stromstärke muss mindestens 300 mA für 4 Sekunden betragen</w:t>
      </w:r>
    </w:p>
    <w:p w:rsidR="006C4F1E" w:rsidRDefault="006C4F1E" w:rsidP="006C4F1E">
      <w:pPr>
        <w:pStyle w:val="Default"/>
        <w:rPr>
          <w:rFonts w:asciiTheme="minorHAnsi" w:hAnsiTheme="minorHAnsi"/>
          <w:b/>
          <w:sz w:val="28"/>
          <w:u w:val="single"/>
        </w:rPr>
      </w:pPr>
    </w:p>
    <w:p w:rsidR="00F025AD" w:rsidRDefault="00F025AD" w:rsidP="00D7064A">
      <w:pPr>
        <w:pStyle w:val="Default"/>
        <w:ind w:left="360"/>
        <w:rPr>
          <w:rFonts w:asciiTheme="minorHAnsi" w:hAnsiTheme="minorHAnsi"/>
        </w:rPr>
      </w:pPr>
    </w:p>
    <w:p w:rsidR="00C50A96" w:rsidRPr="0020608F" w:rsidRDefault="00C50A96" w:rsidP="00C50A96">
      <w:pPr>
        <w:pStyle w:val="Default"/>
        <w:ind w:left="360"/>
        <w:rPr>
          <w:rFonts w:asciiTheme="minorHAnsi" w:hAnsiTheme="minorHAnsi"/>
          <w:b/>
          <w:sz w:val="28"/>
          <w:u w:val="single"/>
        </w:rPr>
      </w:pPr>
      <w:r w:rsidRPr="0020608F">
        <w:rPr>
          <w:rFonts w:asciiTheme="minorHAnsi" w:hAnsiTheme="minorHAnsi"/>
          <w:b/>
          <w:sz w:val="28"/>
          <w:u w:val="single"/>
        </w:rPr>
        <w:t>1</w:t>
      </w:r>
      <w:r w:rsidR="00EE033D">
        <w:rPr>
          <w:rFonts w:asciiTheme="minorHAnsi" w:hAnsiTheme="minorHAnsi"/>
          <w:b/>
          <w:sz w:val="28"/>
          <w:u w:val="single"/>
        </w:rPr>
        <w:t>0</w:t>
      </w:r>
      <w:r w:rsidRPr="0020608F">
        <w:rPr>
          <w:rFonts w:asciiTheme="minorHAnsi" w:hAnsiTheme="minorHAnsi"/>
          <w:b/>
          <w:sz w:val="28"/>
          <w:u w:val="single"/>
        </w:rPr>
        <w:t>.</w:t>
      </w:r>
      <w:r>
        <w:rPr>
          <w:rFonts w:asciiTheme="minorHAnsi" w:hAnsiTheme="minorHAnsi"/>
          <w:b/>
          <w:sz w:val="28"/>
          <w:u w:val="single"/>
        </w:rPr>
        <w:t>c</w:t>
      </w:r>
      <w:r w:rsidRPr="0020608F">
        <w:rPr>
          <w:rFonts w:asciiTheme="minorHAnsi" w:hAnsiTheme="minorHAnsi"/>
          <w:b/>
          <w:sz w:val="28"/>
          <w:u w:val="single"/>
        </w:rPr>
        <w:t>. Stumpfer Schlag</w:t>
      </w:r>
      <w:r w:rsidR="00D16C8E">
        <w:rPr>
          <w:rFonts w:asciiTheme="minorHAnsi" w:hAnsiTheme="minorHAnsi"/>
          <w:b/>
          <w:sz w:val="28"/>
          <w:u w:val="single"/>
        </w:rPr>
        <w:t xml:space="preserve"> oder Genickbruch</w:t>
      </w:r>
    </w:p>
    <w:p w:rsidR="00C50A96" w:rsidRDefault="00BF7850" w:rsidP="00C50A96">
      <w:pPr>
        <w:pStyle w:val="Default"/>
        <w:ind w:left="360"/>
        <w:rPr>
          <w:rFonts w:asciiTheme="minorHAnsi" w:hAnsiTheme="minorHAnsi"/>
          <w:b/>
          <w:u w:val="single"/>
        </w:rPr>
      </w:pPr>
      <w:r w:rsidRPr="006C4F1E"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5360020</wp:posOffset>
                </wp:positionH>
                <wp:positionV relativeFrom="paragraph">
                  <wp:posOffset>6911</wp:posOffset>
                </wp:positionV>
                <wp:extent cx="1371600" cy="21209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F1E" w:rsidRPr="00305C86" w:rsidRDefault="006C4F1E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  <w:r w:rsidRPr="00305C86">
                              <w:rPr>
                                <w:rFonts w:asciiTheme="minorHAnsi" w:hAnsiTheme="minorHAnsi" w:cstheme="minorHAnsi"/>
                                <w:sz w:val="16"/>
                              </w:rPr>
                              <w:t>© Europäische Union,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22.05pt;margin-top:.55pt;width:108pt;height:16.7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" filled="f" stroked="f">
                <v:textbox>
                  <w:txbxContent>
                    <w:p w:rsidR="006C4F1E" w:rsidRPr="00305C86" w:rsidRDefault="006C4F1E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  <w:r w:rsidRPr="00305C86">
                        <w:rPr>
                          <w:rFonts w:asciiTheme="minorHAnsi" w:hAnsiTheme="minorHAnsi" w:cstheme="minorHAnsi"/>
                          <w:sz w:val="16"/>
                        </w:rPr>
                        <w:t>© Europäische Union, 2018</w:t>
                      </w:r>
                    </w:p>
                  </w:txbxContent>
                </v:textbox>
              </v:shape>
            </w:pict>
          </mc:Fallback>
        </mc:AlternateContent>
      </w:r>
      <w:r w:rsidRPr="006C4F1E">
        <w:rPr>
          <w:rFonts w:asciiTheme="minorHAnsi" w:hAnsiTheme="minorHAnsi"/>
          <w:noProof/>
          <w:lang w:val="de-AT" w:eastAsia="de-AT"/>
        </w:rPr>
        <w:drawing>
          <wp:anchor distT="0" distB="0" distL="114300" distR="114300" simplePos="0" relativeHeight="251666944" behindDoc="0" locked="0" layoutInCell="1" allowOverlap="1" wp14:anchorId="6A1ECEA6" wp14:editId="4513AEDE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297940" cy="2312035"/>
            <wp:effectExtent l="0" t="0" r="0" b="0"/>
            <wp:wrapTight wrapText="bothSides">
              <wp:wrapPolygon edited="0">
                <wp:start x="0" y="0"/>
                <wp:lineTo x="0" y="21357"/>
                <wp:lineTo x="21241" y="21357"/>
                <wp:lineTo x="21241" y="0"/>
                <wp:lineTo x="0" y="0"/>
              </wp:wrapPolygon>
            </wp:wrapTight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A96" w:rsidRPr="00C50A96" w:rsidRDefault="00C50A96" w:rsidP="00C50A96">
      <w:pPr>
        <w:pStyle w:val="Default"/>
        <w:numPr>
          <w:ilvl w:val="0"/>
          <w:numId w:val="14"/>
        </w:numPr>
        <w:rPr>
          <w:rFonts w:asciiTheme="minorHAnsi" w:hAnsiTheme="minorHAnsi"/>
          <w:lang w:val="de-AT"/>
        </w:rPr>
      </w:pPr>
      <w:r w:rsidRPr="0020608F">
        <w:rPr>
          <w:rFonts w:asciiTheme="minorHAnsi" w:hAnsiTheme="minorHAnsi"/>
          <w:lang w:val="de-AT"/>
        </w:rPr>
        <w:t>Diese Verfahren werden nicht routinemäßig angewendet, sondern nur in den Fällen, in denen keine anderen Betäubung</w:t>
      </w:r>
      <w:r>
        <w:rPr>
          <w:rFonts w:asciiTheme="minorHAnsi" w:hAnsiTheme="minorHAnsi"/>
          <w:lang w:val="de-AT"/>
        </w:rPr>
        <w:t xml:space="preserve">sverfahren zur Verfügung stehen und </w:t>
      </w:r>
      <w:r w:rsidRPr="00C50A96">
        <w:rPr>
          <w:rFonts w:asciiTheme="minorHAnsi" w:hAnsiTheme="minorHAnsi"/>
          <w:lang w:val="de-AT"/>
        </w:rPr>
        <w:t>dürfen in Schlachthöfen nur als Ersatzverfahren für die Betäubung angewendet werden.</w:t>
      </w:r>
    </w:p>
    <w:p w:rsidR="00C50A96" w:rsidRPr="0020608F" w:rsidRDefault="00C50A96" w:rsidP="00C50A96">
      <w:pPr>
        <w:pStyle w:val="Default"/>
        <w:numPr>
          <w:ilvl w:val="0"/>
          <w:numId w:val="14"/>
        </w:numPr>
        <w:rPr>
          <w:rFonts w:asciiTheme="minorHAnsi" w:hAnsiTheme="minorHAnsi"/>
          <w:lang w:val="de-AT"/>
        </w:rPr>
      </w:pPr>
      <w:r w:rsidRPr="0020608F">
        <w:rPr>
          <w:rFonts w:asciiTheme="minorHAnsi" w:hAnsiTheme="minorHAnsi"/>
          <w:lang w:val="de-AT"/>
        </w:rPr>
        <w:t>Eine Person darf manuell höchstens 70 Tiere pro Tag durch Genickbruch oder einen stumpfen Schlag auf den Kopf töten.</w:t>
      </w:r>
    </w:p>
    <w:p w:rsidR="00C50A96" w:rsidRDefault="00C50A96" w:rsidP="00C50A96">
      <w:pPr>
        <w:pStyle w:val="Default"/>
        <w:numPr>
          <w:ilvl w:val="0"/>
          <w:numId w:val="14"/>
        </w:numPr>
        <w:rPr>
          <w:rFonts w:asciiTheme="minorHAnsi" w:hAnsiTheme="minorHAnsi"/>
          <w:lang w:val="de-AT"/>
        </w:rPr>
      </w:pPr>
      <w:r w:rsidRPr="0020608F">
        <w:rPr>
          <w:rFonts w:asciiTheme="minorHAnsi" w:hAnsiTheme="minorHAnsi"/>
          <w:lang w:val="de-AT"/>
        </w:rPr>
        <w:t xml:space="preserve">Bei Tieren von mehr als </w:t>
      </w:r>
      <w:r>
        <w:rPr>
          <w:rFonts w:asciiTheme="minorHAnsi" w:hAnsiTheme="minorHAnsi"/>
          <w:lang w:val="de-AT"/>
        </w:rPr>
        <w:t>3</w:t>
      </w:r>
      <w:r w:rsidRPr="0020608F">
        <w:rPr>
          <w:rFonts w:asciiTheme="minorHAnsi" w:hAnsiTheme="minorHAnsi"/>
          <w:lang w:val="de-AT"/>
        </w:rPr>
        <w:t xml:space="preserve"> Kilogramm Lebendgewicht darf der Genickbruch nicht angewendet werden.</w:t>
      </w:r>
    </w:p>
    <w:p w:rsidR="00C50A96" w:rsidRPr="0020608F" w:rsidRDefault="00D16C8E" w:rsidP="00C50A96">
      <w:pPr>
        <w:pStyle w:val="Default"/>
        <w:numPr>
          <w:ilvl w:val="0"/>
          <w:numId w:val="14"/>
        </w:numPr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 xml:space="preserve">Das Kaninchen soll auf der Kopfoberseite hinter den Ohren mit einem handlichen schweren Gegenstand mit ausreichend </w:t>
      </w:r>
      <w:r w:rsidR="00BF7850">
        <w:rPr>
          <w:rFonts w:asciiTheme="minorHAnsi" w:hAnsiTheme="minorHAnsi"/>
          <w:lang w:val="de-AT"/>
        </w:rPr>
        <w:t>Kraft</w:t>
      </w:r>
      <w:r>
        <w:rPr>
          <w:rFonts w:asciiTheme="minorHAnsi" w:hAnsiTheme="minorHAnsi"/>
          <w:lang w:val="de-AT"/>
        </w:rPr>
        <w:t xml:space="preserve"> getroffen werden</w:t>
      </w:r>
    </w:p>
    <w:p w:rsidR="00F025AD" w:rsidRDefault="00F025AD" w:rsidP="00D7064A">
      <w:pPr>
        <w:pStyle w:val="Default"/>
        <w:ind w:left="360"/>
        <w:rPr>
          <w:rFonts w:asciiTheme="minorHAnsi" w:hAnsiTheme="minorHAnsi"/>
        </w:rPr>
      </w:pPr>
    </w:p>
    <w:p w:rsidR="00F025AD" w:rsidRDefault="00F025AD" w:rsidP="00D7064A">
      <w:pPr>
        <w:pStyle w:val="Default"/>
        <w:ind w:left="360"/>
        <w:rPr>
          <w:rFonts w:asciiTheme="minorHAnsi" w:hAnsiTheme="minorHAnsi"/>
        </w:rPr>
      </w:pPr>
    </w:p>
    <w:p w:rsidR="006C4F1E" w:rsidRDefault="006C4F1E" w:rsidP="006C4F1E">
      <w:pPr>
        <w:pStyle w:val="Default"/>
        <w:ind w:left="360"/>
        <w:rPr>
          <w:rFonts w:asciiTheme="minorHAnsi" w:hAnsiTheme="minorHAnsi"/>
        </w:rPr>
      </w:pPr>
      <w:r w:rsidRPr="0020608F">
        <w:rPr>
          <w:rFonts w:asciiTheme="minorHAnsi" w:hAnsiTheme="minorHAnsi"/>
          <w:b/>
          <w:sz w:val="28"/>
          <w:szCs w:val="28"/>
          <w:u w:val="single"/>
        </w:rPr>
        <w:t>1</w:t>
      </w:r>
      <w:r w:rsidR="00EE033D">
        <w:rPr>
          <w:rFonts w:asciiTheme="minorHAnsi" w:hAnsiTheme="minorHAnsi"/>
          <w:b/>
          <w:sz w:val="28"/>
          <w:szCs w:val="28"/>
          <w:u w:val="single"/>
        </w:rPr>
        <w:t>0</w:t>
      </w:r>
      <w:r w:rsidRPr="0020608F">
        <w:rPr>
          <w:rFonts w:asciiTheme="minorHAnsi" w:hAnsi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/>
          <w:b/>
          <w:sz w:val="28"/>
          <w:szCs w:val="28"/>
          <w:u w:val="single"/>
        </w:rPr>
        <w:t>d</w:t>
      </w:r>
      <w:r w:rsidRPr="0020608F">
        <w:rPr>
          <w:rFonts w:asciiTheme="minorHAnsi" w:hAnsi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bCs/>
          <w:sz w:val="28"/>
          <w:u w:val="single"/>
          <w:lang w:val="de-AT"/>
        </w:rPr>
        <w:t>Schlachtung/Blutentzug nach Betäubung</w:t>
      </w:r>
      <w:r w:rsidR="00D16C8E">
        <w:rPr>
          <w:rFonts w:asciiTheme="minorHAnsi" w:hAnsiTheme="minorHAnsi"/>
          <w:b/>
          <w:bCs/>
          <w:sz w:val="28"/>
          <w:u w:val="single"/>
          <w:lang w:val="de-AT"/>
        </w:rPr>
        <w:t xml:space="preserve">sarten </w:t>
      </w:r>
      <w:proofErr w:type="spellStart"/>
      <w:proofErr w:type="gramStart"/>
      <w:r w:rsidR="00D16C8E">
        <w:rPr>
          <w:rFonts w:asciiTheme="minorHAnsi" w:hAnsiTheme="minorHAnsi"/>
          <w:b/>
          <w:bCs/>
          <w:sz w:val="28"/>
          <w:u w:val="single"/>
          <w:lang w:val="de-AT"/>
        </w:rPr>
        <w:t>a,b</w:t>
      </w:r>
      <w:proofErr w:type="spellEnd"/>
      <w:proofErr w:type="gramEnd"/>
      <w:r w:rsidR="00D16C8E">
        <w:rPr>
          <w:rFonts w:asciiTheme="minorHAnsi" w:hAnsiTheme="minorHAnsi"/>
          <w:b/>
          <w:bCs/>
          <w:sz w:val="28"/>
          <w:u w:val="single"/>
          <w:lang w:val="de-AT"/>
        </w:rPr>
        <w:t xml:space="preserve"> und c</w:t>
      </w:r>
    </w:p>
    <w:p w:rsidR="006C4F1E" w:rsidRDefault="006C4F1E" w:rsidP="006C4F1E">
      <w:pPr>
        <w:pStyle w:val="Default"/>
        <w:ind w:left="360"/>
        <w:rPr>
          <w:rFonts w:asciiTheme="minorHAnsi" w:hAnsiTheme="minorHAnsi"/>
        </w:rPr>
      </w:pPr>
    </w:p>
    <w:p w:rsidR="006C4F1E" w:rsidRDefault="006C4F1E" w:rsidP="006C4F1E">
      <w:pPr>
        <w:pStyle w:val="Default"/>
        <w:numPr>
          <w:ilvl w:val="0"/>
          <w:numId w:val="10"/>
        </w:numPr>
        <w:rPr>
          <w:rFonts w:asciiTheme="minorHAnsi" w:hAnsiTheme="minorHAnsi"/>
          <w:lang w:val="de-AT"/>
        </w:rPr>
      </w:pPr>
      <w:r w:rsidRPr="00B36E4F">
        <w:rPr>
          <w:rFonts w:asciiTheme="minorHAnsi" w:hAnsiTheme="minorHAnsi"/>
          <w:lang w:val="de-AT"/>
        </w:rPr>
        <w:t xml:space="preserve">Der </w:t>
      </w:r>
      <w:proofErr w:type="spellStart"/>
      <w:r w:rsidRPr="00B36E4F">
        <w:rPr>
          <w:rFonts w:asciiTheme="minorHAnsi" w:hAnsiTheme="minorHAnsi"/>
          <w:lang w:val="de-AT"/>
        </w:rPr>
        <w:t>Entblutungsschnitt</w:t>
      </w:r>
      <w:proofErr w:type="spellEnd"/>
      <w:r w:rsidRPr="00B36E4F">
        <w:rPr>
          <w:rFonts w:asciiTheme="minorHAnsi" w:hAnsiTheme="minorHAnsi"/>
          <w:lang w:val="de-AT"/>
        </w:rPr>
        <w:t xml:space="preserve"> darf erst durchgeführt werden, wenn </w:t>
      </w:r>
      <w:r>
        <w:rPr>
          <w:rFonts w:asciiTheme="minorHAnsi" w:hAnsiTheme="minorHAnsi"/>
          <w:lang w:val="de-AT"/>
        </w:rPr>
        <w:t>das Tier sicher bewusstlos ist</w:t>
      </w:r>
    </w:p>
    <w:p w:rsidR="006C4F1E" w:rsidRDefault="006C4F1E" w:rsidP="006C4F1E">
      <w:pPr>
        <w:pStyle w:val="Default"/>
        <w:numPr>
          <w:ilvl w:val="0"/>
          <w:numId w:val="10"/>
        </w:numPr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sichere Anzeichen von Bewusstlosigkeit:</w:t>
      </w:r>
    </w:p>
    <w:p w:rsidR="006C4F1E" w:rsidRDefault="006C4F1E" w:rsidP="006C4F1E">
      <w:pPr>
        <w:pStyle w:val="Default"/>
        <w:numPr>
          <w:ilvl w:val="1"/>
          <w:numId w:val="10"/>
        </w:numPr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kein Versuch den Kopf zu heben oder zu stehen</w:t>
      </w:r>
    </w:p>
    <w:p w:rsidR="006C4F1E" w:rsidRDefault="006C4F1E" w:rsidP="006C4F1E">
      <w:pPr>
        <w:pStyle w:val="Default"/>
        <w:numPr>
          <w:ilvl w:val="1"/>
          <w:numId w:val="10"/>
        </w:numPr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steife oder ausgestreckte Beine, eventuell Zuckungen/unkontrolliertes Treten der Hinterläufe</w:t>
      </w:r>
    </w:p>
    <w:p w:rsidR="006C4F1E" w:rsidRDefault="006C4F1E" w:rsidP="006C4F1E">
      <w:pPr>
        <w:pStyle w:val="Default"/>
        <w:numPr>
          <w:ilvl w:val="1"/>
          <w:numId w:val="10"/>
        </w:numPr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keine regelmäßige Atmung</w:t>
      </w:r>
    </w:p>
    <w:p w:rsidR="006C4F1E" w:rsidRPr="00B36E4F" w:rsidRDefault="006C4F1E" w:rsidP="006C4F1E">
      <w:pPr>
        <w:pStyle w:val="Default"/>
        <w:numPr>
          <w:ilvl w:val="1"/>
          <w:numId w:val="10"/>
        </w:numPr>
        <w:rPr>
          <w:rFonts w:asciiTheme="minorHAnsi" w:hAnsiTheme="minorHAnsi"/>
          <w:lang w:val="de-AT"/>
        </w:rPr>
      </w:pPr>
      <w:r>
        <w:rPr>
          <w:rFonts w:asciiTheme="minorHAnsi" w:hAnsiTheme="minorHAnsi"/>
          <w:lang w:val="de-AT"/>
        </w:rPr>
        <w:t>keine Lautäußerung</w:t>
      </w:r>
    </w:p>
    <w:p w:rsidR="006C4F1E" w:rsidRPr="00F1710A" w:rsidRDefault="006C4F1E" w:rsidP="006C4F1E">
      <w:pPr>
        <w:pStyle w:val="Default"/>
        <w:numPr>
          <w:ilvl w:val="1"/>
          <w:numId w:val="10"/>
        </w:numPr>
        <w:rPr>
          <w:rFonts w:asciiTheme="minorHAnsi" w:hAnsiTheme="minorHAnsi"/>
          <w:iCs/>
          <w:lang w:val="de-AT"/>
        </w:rPr>
      </w:pPr>
      <w:r w:rsidRPr="00B36E4F">
        <w:rPr>
          <w:rFonts w:asciiTheme="minorHAnsi" w:hAnsiTheme="minorHAnsi"/>
          <w:iCs/>
          <w:lang w:val="de-AT"/>
        </w:rPr>
        <w:t>kein</w:t>
      </w:r>
      <w:r>
        <w:rPr>
          <w:rFonts w:asciiTheme="minorHAnsi" w:hAnsiTheme="minorHAnsi"/>
          <w:iCs/>
          <w:lang w:val="de-AT"/>
        </w:rPr>
        <w:t xml:space="preserve"> spontanes</w:t>
      </w:r>
      <w:r w:rsidRPr="00B36E4F">
        <w:rPr>
          <w:rFonts w:asciiTheme="minorHAnsi" w:hAnsiTheme="minorHAnsi"/>
          <w:iCs/>
          <w:lang w:val="de-AT"/>
        </w:rPr>
        <w:t xml:space="preserve"> Blinzeln</w:t>
      </w:r>
      <w:r>
        <w:rPr>
          <w:rFonts w:asciiTheme="minorHAnsi" w:hAnsiTheme="minorHAnsi"/>
          <w:iCs/>
          <w:lang w:val="de-AT"/>
        </w:rPr>
        <w:t xml:space="preserve"> oder</w:t>
      </w:r>
      <w:r w:rsidRPr="00B36E4F">
        <w:rPr>
          <w:rFonts w:asciiTheme="minorHAnsi" w:hAnsiTheme="minorHAnsi"/>
          <w:iCs/>
          <w:lang w:val="de-AT"/>
        </w:rPr>
        <w:t xml:space="preserve"> beim Berühren der Augen</w:t>
      </w:r>
    </w:p>
    <w:p w:rsidR="006C4F1E" w:rsidRPr="00040DEB" w:rsidRDefault="006C4F1E" w:rsidP="006C4F1E">
      <w:pPr>
        <w:pStyle w:val="Default"/>
        <w:numPr>
          <w:ilvl w:val="0"/>
          <w:numId w:val="10"/>
        </w:numPr>
      </w:pPr>
      <w:r>
        <w:t xml:space="preserve">Kaninchen sind nach </w:t>
      </w:r>
      <w:proofErr w:type="spellStart"/>
      <w:r>
        <w:t>erfolter</w:t>
      </w:r>
      <w:proofErr w:type="spellEnd"/>
      <w:r>
        <w:t xml:space="preserve"> </w:t>
      </w:r>
      <w:proofErr w:type="spellStart"/>
      <w:r>
        <w:t>Beteubung</w:t>
      </w:r>
      <w:proofErr w:type="spellEnd"/>
      <w:r>
        <w:t xml:space="preserve"> innerhalb von 10 Sekunden durch </w:t>
      </w:r>
      <w:proofErr w:type="spellStart"/>
      <w:r>
        <w:t>Entbluten</w:t>
      </w:r>
      <w:proofErr w:type="spellEnd"/>
      <w:r>
        <w:t xml:space="preserve"> zu töten</w:t>
      </w:r>
    </w:p>
    <w:p w:rsidR="006C4F1E" w:rsidRPr="00B36E4F" w:rsidRDefault="006C4F1E" w:rsidP="006C4F1E">
      <w:pPr>
        <w:pStyle w:val="Default"/>
        <w:numPr>
          <w:ilvl w:val="0"/>
          <w:numId w:val="10"/>
        </w:numPr>
        <w:rPr>
          <w:rFonts w:asciiTheme="minorHAnsi" w:hAnsiTheme="minorHAnsi"/>
          <w:lang w:val="de-AT"/>
        </w:rPr>
      </w:pPr>
      <w:r w:rsidRPr="00B36E4F">
        <w:rPr>
          <w:rFonts w:asciiTheme="minorHAnsi" w:hAnsiTheme="minorHAnsi"/>
          <w:lang w:val="de-AT"/>
        </w:rPr>
        <w:t xml:space="preserve">Das </w:t>
      </w:r>
      <w:proofErr w:type="spellStart"/>
      <w:r w:rsidRPr="00B36E4F">
        <w:rPr>
          <w:rFonts w:asciiTheme="minorHAnsi" w:hAnsiTheme="minorHAnsi"/>
          <w:lang w:val="de-AT"/>
        </w:rPr>
        <w:t>Entbluten</w:t>
      </w:r>
      <w:proofErr w:type="spellEnd"/>
      <w:r w:rsidRPr="00B36E4F">
        <w:rPr>
          <w:rFonts w:asciiTheme="minorHAnsi" w:hAnsiTheme="minorHAnsi"/>
          <w:lang w:val="de-AT"/>
        </w:rPr>
        <w:t xml:space="preserve"> erfolgt durch Anstechen mindestens einer der beiden Halsschlagadern bzw. der entsprechenden Hauptblutgefäße </w:t>
      </w:r>
    </w:p>
    <w:p w:rsidR="00F025AD" w:rsidRDefault="00F025AD" w:rsidP="00D7064A">
      <w:pPr>
        <w:pStyle w:val="Default"/>
        <w:ind w:left="360"/>
        <w:rPr>
          <w:rFonts w:asciiTheme="minorHAnsi" w:hAnsiTheme="minorHAnsi"/>
        </w:rPr>
      </w:pPr>
    </w:p>
    <w:p w:rsidR="00F025AD" w:rsidRDefault="00F025AD" w:rsidP="00D7064A">
      <w:pPr>
        <w:pStyle w:val="Default"/>
        <w:ind w:left="360"/>
        <w:rPr>
          <w:rFonts w:asciiTheme="minorHAnsi" w:hAnsiTheme="minorHAnsi"/>
        </w:rPr>
      </w:pPr>
    </w:p>
    <w:p w:rsidR="00F025AD" w:rsidRDefault="00F025AD" w:rsidP="00D7064A">
      <w:pPr>
        <w:pStyle w:val="Default"/>
        <w:ind w:left="360"/>
        <w:rPr>
          <w:rFonts w:asciiTheme="minorHAnsi" w:hAnsiTheme="minorHAnsi"/>
        </w:rPr>
      </w:pPr>
    </w:p>
    <w:p w:rsidR="00F025AD" w:rsidRPr="0020608F" w:rsidRDefault="00F025AD" w:rsidP="00F025AD">
      <w:pPr>
        <w:pStyle w:val="Default"/>
        <w:ind w:left="360"/>
        <w:rPr>
          <w:rFonts w:asciiTheme="minorHAnsi" w:hAnsiTheme="minorHAnsi"/>
        </w:rPr>
      </w:pPr>
    </w:p>
    <w:p w:rsidR="00F025AD" w:rsidRPr="00D7064A" w:rsidRDefault="00F025AD" w:rsidP="00495A5A">
      <w:pPr>
        <w:pStyle w:val="Default"/>
        <w:rPr>
          <w:rFonts w:asciiTheme="minorHAnsi" w:hAnsiTheme="minorHAnsi"/>
        </w:rPr>
      </w:pPr>
    </w:p>
    <w:sectPr w:rsidR="00F025AD" w:rsidRPr="00D7064A" w:rsidSect="0020608F">
      <w:footerReference w:type="default" r:id="rId12"/>
      <w:pgSz w:w="11906" w:h="16838"/>
      <w:pgMar w:top="539" w:right="849" w:bottom="36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E6" w:rsidRDefault="00C448E6">
      <w:r>
        <w:separator/>
      </w:r>
    </w:p>
  </w:endnote>
  <w:endnote w:type="continuationSeparator" w:id="0">
    <w:p w:rsidR="00C448E6" w:rsidRDefault="00C44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8E6" w:rsidRPr="00554FE6" w:rsidRDefault="005B436B" w:rsidP="002C4DA2">
    <w:pPr>
      <w:pStyle w:val="Fuzeile"/>
      <w:ind w:left="284"/>
      <w:rPr>
        <w:rFonts w:ascii="Calibri" w:hAnsi="Calibri"/>
        <w:sz w:val="20"/>
      </w:rPr>
    </w:pPr>
    <w:r>
      <w:rPr>
        <w:rFonts w:ascii="Calibri" w:hAnsi="Calibri"/>
        <w:sz w:val="20"/>
      </w:rPr>
      <w:t>Arbeitsanweisung zum Schutz der Tiere bei der Schlachtung</w:t>
    </w:r>
    <w:r>
      <w:rPr>
        <w:rFonts w:ascii="Calibri" w:hAnsi="Calibri"/>
        <w:sz w:val="20"/>
      </w:rPr>
      <w:t xml:space="preserve"> - Betäuben/Töten und </w:t>
    </w:r>
    <w:proofErr w:type="spellStart"/>
    <w:r>
      <w:rPr>
        <w:rFonts w:ascii="Calibri" w:hAnsi="Calibri"/>
        <w:sz w:val="20"/>
      </w:rPr>
      <w:t>Entbluten</w:t>
    </w:r>
    <w:proofErr w:type="spellEnd"/>
    <w:r>
      <w:rPr>
        <w:rFonts w:ascii="Calibri" w:hAnsi="Calibri"/>
        <w:sz w:val="20"/>
      </w:rPr>
      <w:t xml:space="preserve"> von Kaninchen</w:t>
    </w:r>
    <w:r w:rsidR="00C448E6">
      <w:rPr>
        <w:rFonts w:ascii="Calibri" w:hAnsi="Calibri"/>
        <w:sz w:val="20"/>
      </w:rPr>
      <w:tab/>
    </w:r>
    <w:r w:rsidR="00C448E6">
      <w:rPr>
        <w:rFonts w:ascii="Calibri" w:hAnsi="Calibri"/>
        <w:sz w:val="20"/>
      </w:rPr>
      <w:tab/>
    </w:r>
    <w:r w:rsidR="00C448E6">
      <w:rPr>
        <w:rFonts w:ascii="Calibri" w:hAnsi="Calibri"/>
        <w:sz w:val="20"/>
      </w:rPr>
      <w:tab/>
    </w:r>
    <w:r w:rsidR="00C448E6" w:rsidRPr="00554FE6">
      <w:rPr>
        <w:rFonts w:ascii="Calibri" w:hAnsi="Calibri"/>
        <w:sz w:val="20"/>
      </w:rPr>
      <w:fldChar w:fldCharType="begin"/>
    </w:r>
    <w:r w:rsidR="00C448E6" w:rsidRPr="00554FE6">
      <w:rPr>
        <w:rFonts w:ascii="Calibri" w:hAnsi="Calibri"/>
        <w:sz w:val="20"/>
      </w:rPr>
      <w:instrText>PAGE   \* MERGEFORMAT</w:instrText>
    </w:r>
    <w:r w:rsidR="00C448E6" w:rsidRPr="00554FE6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2</w:t>
    </w:r>
    <w:r w:rsidR="00C448E6" w:rsidRPr="00554FE6">
      <w:rPr>
        <w:rFonts w:ascii="Calibri" w:hAnsi="Calibri"/>
        <w:sz w:val="20"/>
      </w:rPr>
      <w:fldChar w:fldCharType="end"/>
    </w:r>
  </w:p>
  <w:p w:rsidR="00C448E6" w:rsidRDefault="00C44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E6" w:rsidRDefault="00C448E6">
      <w:r>
        <w:separator/>
      </w:r>
    </w:p>
  </w:footnote>
  <w:footnote w:type="continuationSeparator" w:id="0">
    <w:p w:rsidR="00C448E6" w:rsidRDefault="00C44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AAB"/>
    <w:multiLevelType w:val="hybridMultilevel"/>
    <w:tmpl w:val="E83CC3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244"/>
    <w:multiLevelType w:val="hybridMultilevel"/>
    <w:tmpl w:val="BFF843F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F4AF7"/>
    <w:multiLevelType w:val="hybridMultilevel"/>
    <w:tmpl w:val="73C0EAEE"/>
    <w:lvl w:ilvl="0" w:tplc="DD6AED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05EF"/>
    <w:multiLevelType w:val="hybridMultilevel"/>
    <w:tmpl w:val="D29070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58E0"/>
    <w:multiLevelType w:val="hybridMultilevel"/>
    <w:tmpl w:val="C6309C2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5B26FC"/>
    <w:multiLevelType w:val="hybridMultilevel"/>
    <w:tmpl w:val="C48EF9D2"/>
    <w:lvl w:ilvl="0" w:tplc="59B603DA">
      <w:start w:val="1"/>
      <w:numFmt w:val="bullet"/>
      <w:lvlText w:val="-"/>
      <w:lvlJc w:val="left"/>
      <w:pPr>
        <w:ind w:left="9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2F81112B"/>
    <w:multiLevelType w:val="hybridMultilevel"/>
    <w:tmpl w:val="87F40AB0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436D4E"/>
    <w:multiLevelType w:val="hybridMultilevel"/>
    <w:tmpl w:val="1138D126"/>
    <w:lvl w:ilvl="0" w:tplc="59B603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2D78"/>
    <w:multiLevelType w:val="hybridMultilevel"/>
    <w:tmpl w:val="04FCAD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9A5EEC"/>
    <w:multiLevelType w:val="hybridMultilevel"/>
    <w:tmpl w:val="25D000C2"/>
    <w:lvl w:ilvl="0" w:tplc="FBEE7AC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11B16"/>
    <w:multiLevelType w:val="hybridMultilevel"/>
    <w:tmpl w:val="A4827D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24B21"/>
    <w:multiLevelType w:val="multilevel"/>
    <w:tmpl w:val="D2DA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91C521D"/>
    <w:multiLevelType w:val="hybridMultilevel"/>
    <w:tmpl w:val="F5902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A049C"/>
    <w:multiLevelType w:val="hybridMultilevel"/>
    <w:tmpl w:val="052E31D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66770B"/>
    <w:multiLevelType w:val="hybridMultilevel"/>
    <w:tmpl w:val="6F58E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D3"/>
    <w:rsid w:val="001171B7"/>
    <w:rsid w:val="001233A0"/>
    <w:rsid w:val="001749D3"/>
    <w:rsid w:val="00190462"/>
    <w:rsid w:val="001D2954"/>
    <w:rsid w:val="0020608F"/>
    <w:rsid w:val="0024693C"/>
    <w:rsid w:val="002C4DA2"/>
    <w:rsid w:val="002D6D7D"/>
    <w:rsid w:val="00304C7D"/>
    <w:rsid w:val="00305C86"/>
    <w:rsid w:val="00357A10"/>
    <w:rsid w:val="003C484B"/>
    <w:rsid w:val="00403907"/>
    <w:rsid w:val="00442A1A"/>
    <w:rsid w:val="00495A5A"/>
    <w:rsid w:val="004B52B0"/>
    <w:rsid w:val="00543B65"/>
    <w:rsid w:val="00565986"/>
    <w:rsid w:val="005B436B"/>
    <w:rsid w:val="005E0EC2"/>
    <w:rsid w:val="006027AE"/>
    <w:rsid w:val="00613E04"/>
    <w:rsid w:val="006240E0"/>
    <w:rsid w:val="006C4F1E"/>
    <w:rsid w:val="007B1036"/>
    <w:rsid w:val="007B2B5F"/>
    <w:rsid w:val="0092281B"/>
    <w:rsid w:val="00947F8F"/>
    <w:rsid w:val="009A2A77"/>
    <w:rsid w:val="009A5FF2"/>
    <w:rsid w:val="009B684F"/>
    <w:rsid w:val="009D53AA"/>
    <w:rsid w:val="00A3579B"/>
    <w:rsid w:val="00B02C26"/>
    <w:rsid w:val="00B36E4F"/>
    <w:rsid w:val="00B63BF6"/>
    <w:rsid w:val="00B830D5"/>
    <w:rsid w:val="00B85F0F"/>
    <w:rsid w:val="00BE498C"/>
    <w:rsid w:val="00BF7850"/>
    <w:rsid w:val="00C448E6"/>
    <w:rsid w:val="00C468F8"/>
    <w:rsid w:val="00C50A96"/>
    <w:rsid w:val="00C678FD"/>
    <w:rsid w:val="00C9048D"/>
    <w:rsid w:val="00CD3CB8"/>
    <w:rsid w:val="00D16C8E"/>
    <w:rsid w:val="00D7064A"/>
    <w:rsid w:val="00DD05A0"/>
    <w:rsid w:val="00E03FF8"/>
    <w:rsid w:val="00EE033D"/>
    <w:rsid w:val="00F025AD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5CD31D"/>
  <w15:docId w15:val="{F9748A4E-CA96-4FA5-98DF-8313BAC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49D3"/>
    <w:pPr>
      <w:overflowPunct w:val="0"/>
      <w:autoSpaceDE w:val="0"/>
      <w:autoSpaceDN w:val="0"/>
      <w:adjustRightInd w:val="0"/>
      <w:spacing w:after="100" w:line="300" w:lineRule="atLeast"/>
      <w:ind w:left="720"/>
      <w:contextualSpacing/>
      <w:textAlignment w:val="baseline"/>
    </w:pPr>
    <w:rPr>
      <w:rFonts w:ascii="Arial" w:hAnsi="Arial"/>
      <w:sz w:val="20"/>
      <w:szCs w:val="20"/>
      <w:lang w:val="de-AT" w:eastAsia="de-AT"/>
    </w:rPr>
  </w:style>
  <w:style w:type="paragraph" w:customStyle="1" w:styleId="Default">
    <w:name w:val="Default"/>
    <w:rsid w:val="001749D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749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49D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C4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DA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9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9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0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9745-7747-4583-B62F-FCAF6394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NIEDERKIRCHER Magdalena</dc:creator>
  <cp:lastModifiedBy>LIENING-EWERT Thorben</cp:lastModifiedBy>
  <cp:revision>3</cp:revision>
  <dcterms:created xsi:type="dcterms:W3CDTF">2023-10-09T12:36:00Z</dcterms:created>
  <dcterms:modified xsi:type="dcterms:W3CDTF">2023-10-09T12:43:00Z</dcterms:modified>
</cp:coreProperties>
</file>